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40"/>
        <w:jc w:val="center"/>
        <w:rPr>
          <w:lang w:val="tr-TR"/>
        </w:rPr>
      </w:pPr>
      <w:r>
        <w:rPr>
          <w:b/>
          <w:color w:val="1F4E79"/>
          <w:sz w:val="22"/>
          <w:lang w:val="tr-TR"/>
        </w:rPr>
        <w:t>T.C.</w:t>
        <w:br/>
        <w:t>KEÇİÖREN KAYMAKAMLIĞI</w:t>
        <w:br/>
      </w:r>
      <w:r>
        <w:rPr>
          <w:b/>
          <w:color w:val="1F4E79"/>
          <w:sz w:val="24"/>
          <w:lang w:val="tr-TR"/>
        </w:rPr>
        <w:t xml:space="preserve"> </w:t>
      </w:r>
      <w:r>
        <w:rPr>
          <w:b/>
          <w:color w:val="1F4E79"/>
          <w:sz w:val="24"/>
          <w:lang w:val="tr-TR"/>
        </w:rPr>
        <w:t xml:space="preserve">İhsan Aras </w:t>
      </w:r>
      <w:r>
        <w:rPr>
          <w:b/>
          <w:color w:val="1F4E79"/>
          <w:sz w:val="24"/>
          <w:lang w:val="tr-TR"/>
        </w:rPr>
        <w:t>Ortaokulu Müdürlüğü</w:t>
        <w:br/>
      </w:r>
    </w:p>
    <w:p>
      <w:pPr>
        <w:pStyle w:val="Normal"/>
        <w:spacing w:before="200" w:after="320"/>
        <w:jc w:val="center"/>
        <w:rPr>
          <w:lang w:val="tr-TR"/>
        </w:rPr>
      </w:pPr>
      <w:r>
        <w:rPr>
          <w:b/>
          <w:color w:val="1F4E79"/>
          <w:sz w:val="28"/>
          <w:lang w:val="tr-TR"/>
        </w:rPr>
        <w:t>2026-2027 EĞİTİM-ÖĞRETİM YILI I. DÖNEM</w:t>
        <w:br/>
        <w:t>YEĞİTEK OKUL SORUMLUSU ÇALIŞMA PLANI</w:t>
      </w:r>
    </w:p>
    <w:tbl>
      <w:tblPr>
        <w:tblW w:w="9360" w:type="dxa"/>
        <w:jc w:val="center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4680"/>
        <w:gridCol w:w="4680"/>
      </w:tblGrid>
      <w:tr>
        <w:trPr/>
        <w:tc>
          <w:tcPr>
            <w:tcW w:w="4680" w:type="dxa"/>
            <w:tcBorders/>
            <w:shd w:fill="F2F4F7" w:val="clear"/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b/>
                <w:color w:val="1F4E79"/>
                <w:sz w:val="20"/>
                <w:lang w:val="tr-TR"/>
              </w:rPr>
              <w:t>Görevli Öğretmen</w:t>
            </w:r>
          </w:p>
        </w:tc>
        <w:tc>
          <w:tcPr>
            <w:tcW w:w="4680" w:type="dxa"/>
            <w:tcBorders/>
            <w:shd w:fill="FFFFFF" w:val="clear"/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sz w:val="20"/>
                <w:lang w:val="tr-TR"/>
              </w:rPr>
              <w:t>Anıl Batu Han ÜNVER</w:t>
            </w:r>
          </w:p>
        </w:tc>
      </w:tr>
      <w:tr>
        <w:trPr/>
        <w:tc>
          <w:tcPr>
            <w:tcW w:w="4680" w:type="dxa"/>
            <w:tcBorders/>
            <w:shd w:fill="F2F4F7" w:val="clear"/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b/>
                <w:color w:val="1F4E79"/>
                <w:sz w:val="20"/>
                <w:lang w:val="tr-TR"/>
              </w:rPr>
              <w:t>Görev Yeri / Okul</w:t>
            </w:r>
          </w:p>
        </w:tc>
        <w:tc>
          <w:tcPr>
            <w:tcW w:w="4680" w:type="dxa"/>
            <w:tcBorders/>
            <w:shd w:fill="FFFFFF" w:val="clear"/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sz w:val="20"/>
                <w:lang w:val="tr-TR"/>
              </w:rPr>
              <w:t xml:space="preserve">İhsan Aras </w:t>
            </w:r>
            <w:r>
              <w:rPr>
                <w:sz w:val="20"/>
                <w:lang w:val="tr-TR"/>
              </w:rPr>
              <w:t>Ortaokulu</w:t>
            </w:r>
          </w:p>
        </w:tc>
      </w:tr>
      <w:tr>
        <w:trPr/>
        <w:tc>
          <w:tcPr>
            <w:tcW w:w="4680" w:type="dxa"/>
            <w:tcBorders/>
            <w:shd w:fill="F2F4F7" w:val="clear"/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b/>
                <w:color w:val="1F4E79"/>
                <w:sz w:val="20"/>
                <w:lang w:val="tr-TR"/>
              </w:rPr>
              <w:t>Tebliğ ve Göreve Başlama Tarihi</w:t>
            </w:r>
          </w:p>
        </w:tc>
        <w:tc>
          <w:tcPr>
            <w:tcW w:w="4680" w:type="dxa"/>
            <w:tcBorders/>
            <w:shd w:fill="FFFFFF" w:val="clear"/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sz w:val="20"/>
                <w:lang w:val="tr-TR"/>
              </w:rPr>
              <w:t>02 Ekim 2026</w:t>
            </w:r>
          </w:p>
        </w:tc>
      </w:tr>
      <w:tr>
        <w:trPr/>
        <w:tc>
          <w:tcPr>
            <w:tcW w:w="4680" w:type="dxa"/>
            <w:tcBorders/>
            <w:shd w:fill="F2F4F7" w:val="clear"/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b/>
                <w:color w:val="1F4E79"/>
                <w:sz w:val="20"/>
                <w:lang w:val="tr-TR"/>
              </w:rPr>
              <w:t>Kapsadığı Dönem</w:t>
            </w:r>
          </w:p>
        </w:tc>
        <w:tc>
          <w:tcPr>
            <w:tcW w:w="4680" w:type="dxa"/>
            <w:tcBorders/>
            <w:shd w:fill="FFFFFF" w:val="clear"/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sz w:val="20"/>
                <w:lang w:val="tr-TR"/>
              </w:rPr>
              <w:t>2026-2027 Eğitim-Öğretim Yılı I. Dönem (Ekim 2026 - Ocak 2027)</w:t>
            </w:r>
          </w:p>
        </w:tc>
      </w:tr>
      <w:tr>
        <w:trPr/>
        <w:tc>
          <w:tcPr>
            <w:tcW w:w="4680" w:type="dxa"/>
            <w:tcBorders/>
            <w:shd w:fill="F2F4F7" w:val="clear"/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b/>
                <w:color w:val="1F4E79"/>
                <w:sz w:val="20"/>
                <w:lang w:val="tr-TR"/>
              </w:rPr>
              <w:t>Sunulan Makam</w:t>
            </w:r>
          </w:p>
        </w:tc>
        <w:tc>
          <w:tcPr>
            <w:tcW w:w="4680" w:type="dxa"/>
            <w:tcBorders/>
            <w:shd w:fill="FFFFFF" w:val="clear"/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sz w:val="20"/>
                <w:lang w:val="tr-TR"/>
              </w:rPr>
              <w:t xml:space="preserve">İhsan Aras </w:t>
            </w:r>
            <w:r>
              <w:rPr>
                <w:sz w:val="20"/>
                <w:lang w:val="tr-TR"/>
              </w:rPr>
              <w:t>Ortaokulu Müdürlüğü</w:t>
            </w:r>
          </w:p>
        </w:tc>
      </w:tr>
    </w:tbl>
    <w:p>
      <w:pPr>
        <w:pStyle w:val="Normal"/>
        <w:spacing w:before="240" w:after="120"/>
        <w:rPr>
          <w:lang w:val="tr-TR"/>
        </w:rPr>
      </w:pPr>
      <w:r>
        <w:rPr>
          <w:lang w:val="tr-TR"/>
        </w:rPr>
      </w:r>
    </w:p>
    <w:p>
      <w:pPr>
        <w:pStyle w:val="Heading1"/>
        <w:spacing w:before="280" w:after="120"/>
        <w:rPr>
          <w:lang w:val="tr-TR"/>
        </w:rPr>
      </w:pPr>
      <w:r>
        <w:rPr>
          <w:b/>
          <w:color w:val="1F4E79"/>
          <w:sz w:val="24"/>
          <w:lang w:val="tr-TR"/>
        </w:rPr>
        <w:t>1. AMAÇ VE MEVZUAT DAYANAĞI</w:t>
      </w:r>
    </w:p>
    <w:p>
      <w:pPr>
        <w:pStyle w:val="Normal"/>
        <w:spacing w:lineRule="auto" w:line="276" w:before="0" w:after="120"/>
        <w:rPr>
          <w:lang w:val="tr-TR"/>
        </w:rPr>
      </w:pPr>
      <w:r>
        <w:rPr>
          <w:lang w:val="tr-TR"/>
        </w:rPr>
        <w:t>Bu çalışma planı; Millî Eğitim Bakanlığı Yenilik ve Eğitim Teknolojileri Genel Müdürlüğü tarafından yürütülen FATİH Projesi ve bilişim teknolojileri destekli ulusal/uluslararası eğitim projeleri kapsamında, - Ortaokulunda eğitim teknolojilerinin etkin, verimli ve mevzuata uygun şekilde kullanımını sağlamak amacıyla hazırlanmıştır.</w:t>
        <w:br/>
        <w:br/>
        <w:t>Planın hazırlanmasında YEĞİTEK Okul Sorumlusu Görevlendirme Esasları (Ek-1) ile YEĞİTEK Okul Sorumlusunun Görev ve Sorumlulukları (Ek-2) mevzuat hükümleri temel alınmıştır. 02 Ekim 2026 tarihi itibarıyla tebliğ edilen bu görev doğrultusunda, 2026-2027 Eğitim-Öğretim Yılı I. Dönemi süresince yürütülecek faaliyetler Okul Müdürlüğümüzün bilgisi ve onayına sunulmuştur.</w:t>
      </w:r>
    </w:p>
    <w:p>
      <w:pPr>
        <w:pStyle w:val="Heading1"/>
        <w:spacing w:before="320" w:after="120"/>
        <w:rPr>
          <w:lang w:val="tr-TR"/>
        </w:rPr>
      </w:pPr>
      <w:r>
        <w:rPr>
          <w:b/>
          <w:color w:val="1F4E79"/>
          <w:sz w:val="24"/>
          <w:lang w:val="tr-TR"/>
        </w:rPr>
        <w:t>2. I. DÖNEM AYLIK ÇALIŞMA TAKVİMİ VE FAALİYET PLANI</w:t>
      </w:r>
    </w:p>
    <w:p>
      <w:pPr>
        <w:pStyle w:val="Heading2"/>
        <w:spacing w:before="240" w:after="80"/>
        <w:rPr>
          <w:lang w:val="tr-TR"/>
        </w:rPr>
      </w:pPr>
      <w:r>
        <w:rPr>
          <w:b/>
          <w:color w:val="2F5496"/>
          <w:sz w:val="22"/>
          <w:lang w:val="tr-TR"/>
        </w:rPr>
        <w:t>EKİM 2026: Altyapı Tespiti, Planlama ve Başlangıç İşlemleri</w:t>
      </w:r>
    </w:p>
    <w:tbl>
      <w:tblPr>
        <w:tblW w:w="9360" w:type="dxa"/>
        <w:jc w:val="center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4680"/>
        <w:gridCol w:w="4680"/>
      </w:tblGrid>
      <w:tr>
        <w:trPr/>
        <w:tc>
          <w:tcPr>
            <w:tcW w:w="4680" w:type="dxa"/>
            <w:tcBorders/>
            <w:shd w:fill="1F4E79" w:val="clear"/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b/>
                <w:color w:val="FFFFFF"/>
                <w:sz w:val="20"/>
                <w:lang w:val="tr-TR"/>
              </w:rPr>
              <w:t>Eylem / Konu</w:t>
            </w:r>
          </w:p>
        </w:tc>
        <w:tc>
          <w:tcPr>
            <w:tcW w:w="4680" w:type="dxa"/>
            <w:tcBorders/>
            <w:shd w:fill="1F4E79" w:val="clear"/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b/>
                <w:color w:val="FFFFFF"/>
                <w:sz w:val="20"/>
                <w:lang w:val="tr-TR"/>
              </w:rPr>
              <w:t>Planlanan Faaliyet ve Açıklama</w:t>
            </w:r>
          </w:p>
        </w:tc>
      </w:tr>
      <w:tr>
        <w:trPr/>
        <w:tc>
          <w:tcPr>
            <w:tcW w:w="4680" w:type="dxa"/>
            <w:tcBorders/>
            <w:shd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b/>
                <w:color w:val="1F4E79"/>
                <w:sz w:val="19"/>
                <w:lang w:val="tr-TR"/>
              </w:rPr>
              <w:t>Altyapı ve Envanter Tespiti</w:t>
            </w:r>
          </w:p>
        </w:tc>
        <w:tc>
          <w:tcPr>
            <w:tcW w:w="4680" w:type="dxa"/>
            <w:tcBorders/>
            <w:shd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sz w:val="19"/>
                <w:lang w:val="tr-TR"/>
              </w:rPr>
              <w:t>Okulda bulunan etkileşimli tahta (ET), ağ altyapısı, internet erişimi ve bilişim donanımlarının mevcut durumunun incelenmesi, envanter kontrolünün yapılması.</w:t>
            </w:r>
          </w:p>
        </w:tc>
      </w:tr>
      <w:tr>
        <w:trPr/>
        <w:tc>
          <w:tcPr>
            <w:tcW w:w="4680" w:type="dxa"/>
            <w:tcBorders/>
            <w:shd w:fill="F9FAFC" w:val="clear"/>
            <w:tcMar>
              <w:top w:w="80" w:type="dxa"/>
              <w:bottom w:w="80" w:type="dxa"/>
            </w:tcMar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b/>
                <w:color w:val="1F4E79"/>
                <w:sz w:val="19"/>
                <w:lang w:val="tr-TR"/>
              </w:rPr>
              <w:t>İşletim Sistemi ve Güncellik</w:t>
            </w:r>
          </w:p>
        </w:tc>
        <w:tc>
          <w:tcPr>
            <w:tcW w:w="4680" w:type="dxa"/>
            <w:tcBorders/>
            <w:shd w:fill="F9FAFC" w:val="clear"/>
            <w:tcMar>
              <w:top w:w="80" w:type="dxa"/>
              <w:bottom w:w="80" w:type="dxa"/>
            </w:tcMar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sz w:val="19"/>
                <w:lang w:val="tr-TR"/>
              </w:rPr>
              <w:t>Etkileşimli tahta ve bilişim araçlarında Bakanlıkça desteklenen işletim sistemlerinin kurulum, çalışırlık ve güncellik durumlarının kontrol edilmesi.</w:t>
            </w:r>
          </w:p>
        </w:tc>
      </w:tr>
      <w:tr>
        <w:trPr/>
        <w:tc>
          <w:tcPr>
            <w:tcW w:w="4680" w:type="dxa"/>
            <w:tcBorders/>
            <w:shd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b/>
                <w:color w:val="1F4E79"/>
                <w:sz w:val="19"/>
                <w:lang w:val="tr-TR"/>
              </w:rPr>
              <w:t>Garanti ve Arıza Takibi</w:t>
            </w:r>
          </w:p>
        </w:tc>
        <w:tc>
          <w:tcPr>
            <w:tcW w:w="4680" w:type="dxa"/>
            <w:tcBorders/>
            <w:shd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sz w:val="19"/>
                <w:lang w:val="tr-TR"/>
              </w:rPr>
              <w:t>Bilişim araçlarının garanti durumlarının takibi, arızalı cihazlar için arıza kayıtlarının oluşturulması ve arıza takip süreçlerinin yürütülmesi.</w:t>
            </w:r>
          </w:p>
        </w:tc>
      </w:tr>
      <w:tr>
        <w:trPr/>
        <w:tc>
          <w:tcPr>
            <w:tcW w:w="4680" w:type="dxa"/>
            <w:tcBorders/>
            <w:shd w:fill="F9FAFC" w:val="clear"/>
            <w:tcMar>
              <w:top w:w="80" w:type="dxa"/>
              <w:bottom w:w="80" w:type="dxa"/>
            </w:tcMar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b/>
                <w:color w:val="1F4E79"/>
                <w:sz w:val="19"/>
                <w:lang w:val="tr-TR"/>
              </w:rPr>
              <w:t>Haftalık Ders Programı Düzenlemesi</w:t>
            </w:r>
          </w:p>
        </w:tc>
        <w:tc>
          <w:tcPr>
            <w:tcW w:w="4680" w:type="dxa"/>
            <w:tcBorders/>
            <w:shd w:fill="F9FAFC" w:val="clear"/>
            <w:tcMar>
              <w:top w:w="80" w:type="dxa"/>
              <w:bottom w:w="80" w:type="dxa"/>
            </w:tcMar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sz w:val="19"/>
                <w:lang w:val="tr-TR"/>
              </w:rPr>
              <w:t>YEĞİTEK Okul Sorumluluğu görevinin yürütüleceği gün ve saatlerin okul haftalık ders çizelgesinde açıkça belirtilmesi; bu günlerde nöbet muafiyetinin uygulanması.</w:t>
            </w:r>
          </w:p>
        </w:tc>
      </w:tr>
      <w:tr>
        <w:trPr/>
        <w:tc>
          <w:tcPr>
            <w:tcW w:w="4680" w:type="dxa"/>
            <w:tcBorders/>
            <w:shd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b/>
                <w:color w:val="1F4E79"/>
                <w:sz w:val="19"/>
                <w:lang w:val="tr-TR"/>
              </w:rPr>
              <w:t>İlk Rehberlik Çalışmaları</w:t>
            </w:r>
          </w:p>
        </w:tc>
        <w:tc>
          <w:tcPr>
            <w:tcW w:w="4680" w:type="dxa"/>
            <w:tcBorders/>
            <w:shd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sz w:val="19"/>
                <w:lang w:val="tr-TR"/>
              </w:rPr>
              <w:t>Öğretmen ve öğrencilere EBA ve ÖBA platformlarına erişim yöntemlerinin tanıtılması ve erişim desteklerinin sağlanması.</w:t>
            </w:r>
          </w:p>
        </w:tc>
      </w:tr>
    </w:tbl>
    <w:p>
      <w:pPr>
        <w:pStyle w:val="Heading2"/>
        <w:spacing w:before="240" w:after="80"/>
        <w:rPr>
          <w:lang w:val="tr-TR"/>
        </w:rPr>
      </w:pPr>
      <w:r>
        <w:rPr>
          <w:b/>
          <w:color w:val="2F5496"/>
          <w:sz w:val="22"/>
          <w:lang w:val="tr-TR"/>
        </w:rPr>
        <w:t>KASIM 2026: Dijital İçerik Entegrasyonu ve EBA / ÖBA Rehberliği</w:t>
      </w:r>
    </w:p>
    <w:tbl>
      <w:tblPr>
        <w:tblW w:w="9360" w:type="dxa"/>
        <w:jc w:val="center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4680"/>
        <w:gridCol w:w="4680"/>
      </w:tblGrid>
      <w:tr>
        <w:trPr/>
        <w:tc>
          <w:tcPr>
            <w:tcW w:w="4680" w:type="dxa"/>
            <w:tcBorders/>
            <w:shd w:fill="1F4E79" w:val="clear"/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b/>
                <w:color w:val="FFFFFF"/>
                <w:sz w:val="20"/>
                <w:lang w:val="tr-TR"/>
              </w:rPr>
              <w:t>Eylem / Konu</w:t>
            </w:r>
          </w:p>
        </w:tc>
        <w:tc>
          <w:tcPr>
            <w:tcW w:w="4680" w:type="dxa"/>
            <w:tcBorders/>
            <w:shd w:fill="1F4E79" w:val="clear"/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b/>
                <w:color w:val="FFFFFF"/>
                <w:sz w:val="20"/>
                <w:lang w:val="tr-TR"/>
              </w:rPr>
              <w:t>Planlanan Faaliyet ve Açıklama</w:t>
            </w:r>
          </w:p>
        </w:tc>
      </w:tr>
      <w:tr>
        <w:trPr/>
        <w:tc>
          <w:tcPr>
            <w:tcW w:w="4680" w:type="dxa"/>
            <w:tcBorders/>
            <w:shd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b/>
                <w:color w:val="1F4E79"/>
                <w:sz w:val="19"/>
                <w:lang w:val="tr-TR"/>
              </w:rPr>
              <w:t>Ders İçi EBA Entegrasyonu</w:t>
            </w:r>
          </w:p>
        </w:tc>
        <w:tc>
          <w:tcPr>
            <w:tcW w:w="4680" w:type="dxa"/>
            <w:tcBorders/>
            <w:shd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sz w:val="19"/>
                <w:lang w:val="tr-TR"/>
              </w:rPr>
              <w:t>Derslerde EBA platformu ve diğer dijital eğitim içeriklerinin kullanımını artırmak amacıyla idareci ve öğretmenlere yönelik rehberlik yapılması.</w:t>
            </w:r>
          </w:p>
        </w:tc>
      </w:tr>
      <w:tr>
        <w:trPr/>
        <w:tc>
          <w:tcPr>
            <w:tcW w:w="4680" w:type="dxa"/>
            <w:tcBorders/>
            <w:shd w:fill="F9FAFC" w:val="clear"/>
            <w:tcMar>
              <w:top w:w="80" w:type="dxa"/>
              <w:bottom w:w="80" w:type="dxa"/>
            </w:tcMar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b/>
                <w:color w:val="1F4E79"/>
                <w:sz w:val="19"/>
                <w:lang w:val="tr-TR"/>
              </w:rPr>
              <w:t>Haftalık EBA Kontrol Rutini</w:t>
            </w:r>
          </w:p>
        </w:tc>
        <w:tc>
          <w:tcPr>
            <w:tcW w:w="4680" w:type="dxa"/>
            <w:tcBorders/>
            <w:shd w:fill="F9FAFC" w:val="clear"/>
            <w:tcMar>
              <w:top w:w="80" w:type="dxa"/>
              <w:bottom w:w="80" w:type="dxa"/>
            </w:tcMar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sz w:val="19"/>
                <w:lang w:val="tr-TR"/>
              </w:rPr>
              <w:t>EBA platformunda yapılan öğrenci paylaşımlarının haftalık olarak düzenli kontrol edilmesi, uygunsuz içeriklerin kaldırılması ve gerekli uyarıların yapılması.</w:t>
            </w:r>
          </w:p>
        </w:tc>
      </w:tr>
      <w:tr>
        <w:trPr/>
        <w:tc>
          <w:tcPr>
            <w:tcW w:w="4680" w:type="dxa"/>
            <w:tcBorders/>
            <w:shd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b/>
                <w:color w:val="1F4E79"/>
                <w:sz w:val="19"/>
                <w:lang w:val="tr-TR"/>
              </w:rPr>
              <w:t>Okul Web Sitesi Çalışmaları</w:t>
            </w:r>
          </w:p>
        </w:tc>
        <w:tc>
          <w:tcPr>
            <w:tcW w:w="4680" w:type="dxa"/>
            <w:tcBorders/>
            <w:shd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sz w:val="19"/>
                <w:lang w:val="tr-TR"/>
              </w:rPr>
              <w:t>Okul web sitesi yayın ekibinde aktif görev alınarak okulun bilişim ve eğitim faaliyetlerinin web sitesinde güncel tutulması.</w:t>
            </w:r>
          </w:p>
        </w:tc>
      </w:tr>
      <w:tr>
        <w:trPr/>
        <w:tc>
          <w:tcPr>
            <w:tcW w:w="4680" w:type="dxa"/>
            <w:tcBorders/>
            <w:shd w:fill="F9FAFC" w:val="clear"/>
            <w:tcMar>
              <w:top w:w="80" w:type="dxa"/>
              <w:bottom w:w="80" w:type="dxa"/>
            </w:tcMar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b/>
                <w:color w:val="1F4E79"/>
                <w:sz w:val="19"/>
                <w:lang w:val="tr-TR"/>
              </w:rPr>
              <w:t>ÖBA Kullanım Rehberliği</w:t>
            </w:r>
          </w:p>
        </w:tc>
        <w:tc>
          <w:tcPr>
            <w:tcW w:w="4680" w:type="dxa"/>
            <w:tcBorders/>
            <w:shd w:fill="F9FAFC" w:val="clear"/>
            <w:tcMar>
              <w:top w:w="80" w:type="dxa"/>
              <w:bottom w:w="80" w:type="dxa"/>
            </w:tcMar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sz w:val="19"/>
                <w:lang w:val="tr-TR"/>
              </w:rPr>
              <w:t>Öğretmen Bilişim Ağı (ÖBA) platformunun mesleki gelişim faaliyetlerinde kullanımı konusunda öğretmenlere destek sunulması.</w:t>
            </w:r>
          </w:p>
        </w:tc>
      </w:tr>
      <w:tr>
        <w:trPr/>
        <w:tc>
          <w:tcPr>
            <w:tcW w:w="4680" w:type="dxa"/>
            <w:tcBorders/>
            <w:shd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b/>
                <w:color w:val="1F4E79"/>
                <w:sz w:val="19"/>
                <w:lang w:val="tr-TR"/>
              </w:rPr>
              <w:t>Aylık Raporlama</w:t>
            </w:r>
          </w:p>
        </w:tc>
        <w:tc>
          <w:tcPr>
            <w:tcW w:w="4680" w:type="dxa"/>
            <w:tcBorders/>
            <w:shd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sz w:val="19"/>
                <w:lang w:val="tr-TR"/>
              </w:rPr>
              <w:t>Ekim ayına ait rehberlik ve bilişim faaliyetlerinin 'YEĞİTEK Okul Sorumlusu Çalışma Bildirim Formu'na (Ek-4) işlenerek Okul Müdürünün onayına sunulması.</w:t>
            </w:r>
          </w:p>
        </w:tc>
      </w:tr>
    </w:tbl>
    <w:p>
      <w:pPr>
        <w:pStyle w:val="Heading2"/>
        <w:spacing w:before="240" w:after="80"/>
        <w:rPr>
          <w:lang w:val="tr-TR"/>
        </w:rPr>
      </w:pPr>
      <w:r>
        <w:rPr>
          <w:b/>
          <w:color w:val="2F5496"/>
          <w:sz w:val="22"/>
          <w:lang w:val="tr-TR"/>
        </w:rPr>
        <w:t>ARALIK 2026: Güvenli İnternet, Projeler ve Bilişim Etkinlikleri</w:t>
      </w:r>
    </w:p>
    <w:tbl>
      <w:tblPr>
        <w:tblW w:w="9360" w:type="dxa"/>
        <w:jc w:val="center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4680"/>
        <w:gridCol w:w="4680"/>
      </w:tblGrid>
      <w:tr>
        <w:trPr/>
        <w:tc>
          <w:tcPr>
            <w:tcW w:w="4680" w:type="dxa"/>
            <w:tcBorders/>
            <w:shd w:fill="1F4E79" w:val="clear"/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b/>
                <w:color w:val="FFFFFF"/>
                <w:sz w:val="20"/>
                <w:lang w:val="tr-TR"/>
              </w:rPr>
              <w:t>Eylem / Konu</w:t>
            </w:r>
          </w:p>
        </w:tc>
        <w:tc>
          <w:tcPr>
            <w:tcW w:w="4680" w:type="dxa"/>
            <w:tcBorders/>
            <w:shd w:fill="1F4E79" w:val="clear"/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b/>
                <w:color w:val="FFFFFF"/>
                <w:sz w:val="20"/>
                <w:lang w:val="tr-TR"/>
              </w:rPr>
              <w:t>Planlanan Faaliyet ve Açıklama</w:t>
            </w:r>
          </w:p>
        </w:tc>
      </w:tr>
      <w:tr>
        <w:trPr/>
        <w:tc>
          <w:tcPr>
            <w:tcW w:w="4680" w:type="dxa"/>
            <w:tcBorders/>
            <w:shd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b/>
                <w:color w:val="1F4E79"/>
                <w:sz w:val="19"/>
                <w:lang w:val="tr-TR"/>
              </w:rPr>
              <w:t>Bilinçli ve Güvenli İnternet Kullanımı</w:t>
            </w:r>
          </w:p>
        </w:tc>
        <w:tc>
          <w:tcPr>
            <w:tcW w:w="4680" w:type="dxa"/>
            <w:tcBorders/>
            <w:shd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sz w:val="19"/>
                <w:lang w:val="tr-TR"/>
              </w:rPr>
              <w:t>Rehberlik Servisi ve zümre öğretmenleri ile iş birliği içinde internetin güvenli kullanımına yönelik öğrenci, öğretmen ve veli bilgilendirme, afiş, pano veya seminer çalışmalarının yürütülmesi.</w:t>
            </w:r>
          </w:p>
        </w:tc>
      </w:tr>
      <w:tr>
        <w:trPr/>
        <w:tc>
          <w:tcPr>
            <w:tcW w:w="4680" w:type="dxa"/>
            <w:tcBorders/>
            <w:shd w:fill="F9FAFC" w:val="clear"/>
            <w:tcMar>
              <w:top w:w="80" w:type="dxa"/>
              <w:bottom w:w="80" w:type="dxa"/>
            </w:tcMar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b/>
                <w:color w:val="1F4E79"/>
                <w:sz w:val="19"/>
                <w:lang w:val="tr-TR"/>
              </w:rPr>
              <w:t>Ulusal ve Uluslararası Projeler</w:t>
            </w:r>
          </w:p>
        </w:tc>
        <w:tc>
          <w:tcPr>
            <w:tcW w:w="4680" w:type="dxa"/>
            <w:tcBorders/>
            <w:shd w:fill="F9FAFC" w:val="clear"/>
            <w:tcMar>
              <w:top w:w="80" w:type="dxa"/>
              <w:bottom w:w="80" w:type="dxa"/>
            </w:tcMar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sz w:val="19"/>
                <w:lang w:val="tr-TR"/>
              </w:rPr>
              <w:t>YEĞİTEK Genel Müdürlüğü bünyesinde yürütülen bilişim projeleri, yarışmalar ve etkinliklerin okul bünyesinde duyurulması ve öğrenci/öğretmen katılımının teşvik edilmesi.</w:t>
            </w:r>
          </w:p>
        </w:tc>
      </w:tr>
      <w:tr>
        <w:trPr/>
        <w:tc>
          <w:tcPr>
            <w:tcW w:w="4680" w:type="dxa"/>
            <w:tcBorders/>
            <w:shd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b/>
                <w:color w:val="1F4E79"/>
                <w:sz w:val="19"/>
                <w:lang w:val="tr-TR"/>
              </w:rPr>
              <w:t>Yazılım ve Donanım Kontrolü</w:t>
            </w:r>
          </w:p>
        </w:tc>
        <w:tc>
          <w:tcPr>
            <w:tcW w:w="4680" w:type="dxa"/>
            <w:tcBorders/>
            <w:shd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sz w:val="19"/>
                <w:lang w:val="tr-TR"/>
              </w:rPr>
              <w:t>Etkileşimli tahta yazılımlarının ve ders içeriklerinin güncelliğinin periyodik olarak kontrol edilmesi.</w:t>
            </w:r>
          </w:p>
        </w:tc>
      </w:tr>
      <w:tr>
        <w:trPr/>
        <w:tc>
          <w:tcPr>
            <w:tcW w:w="4680" w:type="dxa"/>
            <w:tcBorders/>
            <w:shd w:fill="F9FAFC" w:val="clear"/>
            <w:tcMar>
              <w:top w:w="80" w:type="dxa"/>
              <w:bottom w:w="80" w:type="dxa"/>
            </w:tcMar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b/>
                <w:color w:val="1F4E79"/>
                <w:sz w:val="19"/>
                <w:lang w:val="tr-TR"/>
              </w:rPr>
              <w:t>Aylık Raporlama</w:t>
            </w:r>
          </w:p>
        </w:tc>
        <w:tc>
          <w:tcPr>
            <w:tcW w:w="4680" w:type="dxa"/>
            <w:tcBorders/>
            <w:shd w:fill="F9FAFC" w:val="clear"/>
            <w:tcMar>
              <w:top w:w="80" w:type="dxa"/>
              <w:bottom w:w="80" w:type="dxa"/>
            </w:tcMar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sz w:val="19"/>
                <w:lang w:val="tr-TR"/>
              </w:rPr>
              <w:t>Kasım ayına ait 'YEĞİTEK Okul Sorumlusu Çalışma Bildirim Formu'nun (Ek-4) hazırlanması ve Okul Müdürünün onayına sunulması.</w:t>
            </w:r>
          </w:p>
        </w:tc>
      </w:tr>
    </w:tbl>
    <w:p>
      <w:pPr>
        <w:pStyle w:val="Heading2"/>
        <w:spacing w:before="240" w:after="80"/>
        <w:rPr>
          <w:lang w:val="tr-TR"/>
        </w:rPr>
      </w:pPr>
      <w:r>
        <w:rPr>
          <w:b/>
          <w:color w:val="2F5496"/>
          <w:sz w:val="22"/>
          <w:lang w:val="tr-TR"/>
        </w:rPr>
        <w:t>OCAK 2027: Dönem Sonu Değerlendirmesi, Genel Raporlama ve Kapanış</w:t>
      </w:r>
    </w:p>
    <w:tbl>
      <w:tblPr>
        <w:tblW w:w="9360" w:type="dxa"/>
        <w:jc w:val="center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4680"/>
        <w:gridCol w:w="4680"/>
      </w:tblGrid>
      <w:tr>
        <w:trPr/>
        <w:tc>
          <w:tcPr>
            <w:tcW w:w="4680" w:type="dxa"/>
            <w:tcBorders/>
            <w:shd w:fill="1F4E79" w:val="clear"/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b/>
                <w:color w:val="FFFFFF"/>
                <w:sz w:val="20"/>
                <w:lang w:val="tr-TR"/>
              </w:rPr>
              <w:t>Eylem / Konu</w:t>
            </w:r>
          </w:p>
        </w:tc>
        <w:tc>
          <w:tcPr>
            <w:tcW w:w="4680" w:type="dxa"/>
            <w:tcBorders/>
            <w:shd w:fill="1F4E79" w:val="clear"/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b/>
                <w:color w:val="FFFFFF"/>
                <w:sz w:val="20"/>
                <w:lang w:val="tr-TR"/>
              </w:rPr>
              <w:t>Planlanan Faaliyet ve Açıklama</w:t>
            </w:r>
          </w:p>
        </w:tc>
      </w:tr>
      <w:tr>
        <w:trPr/>
        <w:tc>
          <w:tcPr>
            <w:tcW w:w="4680" w:type="dxa"/>
            <w:tcBorders/>
            <w:shd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b/>
                <w:color w:val="1F4E79"/>
                <w:sz w:val="19"/>
                <w:lang w:val="tr-TR"/>
              </w:rPr>
              <w:t>Dönem Sonu Donanım Kontrolü</w:t>
            </w:r>
          </w:p>
        </w:tc>
        <w:tc>
          <w:tcPr>
            <w:tcW w:w="4680" w:type="dxa"/>
            <w:tcBorders/>
            <w:shd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sz w:val="19"/>
                <w:lang w:val="tr-TR"/>
              </w:rPr>
              <w:t>Okul bilişim altyapısı, etkileşimli tahtalar ve bilişim araçlarının I. Dönem sonu genel durum tespiti ve bakım ihtiyaçlarının belirlenmesi.</w:t>
            </w:r>
          </w:p>
        </w:tc>
      </w:tr>
      <w:tr>
        <w:trPr/>
        <w:tc>
          <w:tcPr>
            <w:tcW w:w="4680" w:type="dxa"/>
            <w:tcBorders/>
            <w:shd w:fill="F9FAFC" w:val="clear"/>
            <w:tcMar>
              <w:top w:w="80" w:type="dxa"/>
              <w:bottom w:w="80" w:type="dxa"/>
            </w:tcMar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b/>
                <w:color w:val="1F4E79"/>
                <w:sz w:val="19"/>
                <w:lang w:val="tr-TR"/>
              </w:rPr>
              <w:t>I. Dönem Faaliyet Değerlendirmesi</w:t>
            </w:r>
          </w:p>
        </w:tc>
        <w:tc>
          <w:tcPr>
            <w:tcW w:w="4680" w:type="dxa"/>
            <w:tcBorders/>
            <w:shd w:fill="F9FAFC" w:val="clear"/>
            <w:tcMar>
              <w:top w:w="80" w:type="dxa"/>
              <w:bottom w:w="80" w:type="dxa"/>
            </w:tcMar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sz w:val="19"/>
                <w:lang w:val="tr-TR"/>
              </w:rPr>
              <w:t>I. Dönem boyunca derslerde gerçekleştirilen EBA/dijital içerik kullanım oranları ve rehberlik çalışmalarının genel değerlendirmesinin yapılması.</w:t>
            </w:r>
          </w:p>
        </w:tc>
      </w:tr>
      <w:tr>
        <w:trPr/>
        <w:tc>
          <w:tcPr>
            <w:tcW w:w="4680" w:type="dxa"/>
            <w:tcBorders/>
            <w:shd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b/>
                <w:color w:val="1F4E79"/>
                <w:sz w:val="19"/>
                <w:lang w:val="tr-TR"/>
              </w:rPr>
              <w:t>Aylık Raporlama ve Kapanış</w:t>
            </w:r>
          </w:p>
        </w:tc>
        <w:tc>
          <w:tcPr>
            <w:tcW w:w="4680" w:type="dxa"/>
            <w:tcBorders/>
            <w:shd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sz w:val="19"/>
                <w:lang w:val="tr-TR"/>
              </w:rPr>
              <w:t>Aralık ve Ocak aylarına ait 'YEĞİTEK Okul Sorumlusu Çalışma Bildirim Formu'nun (Ek-4) tamamlanarak Okul Müdürüne onaylatılması.</w:t>
            </w:r>
          </w:p>
        </w:tc>
      </w:tr>
      <w:tr>
        <w:trPr/>
        <w:tc>
          <w:tcPr>
            <w:tcW w:w="4680" w:type="dxa"/>
            <w:tcBorders/>
            <w:shd w:fill="F9FAFC" w:val="clear"/>
            <w:tcMar>
              <w:top w:w="80" w:type="dxa"/>
              <w:bottom w:w="80" w:type="dxa"/>
            </w:tcMar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b/>
                <w:color w:val="1F4E79"/>
                <w:sz w:val="19"/>
                <w:lang w:val="tr-TR"/>
              </w:rPr>
              <w:t>Dönem Sonu Faaliyet Raporu</w:t>
            </w:r>
          </w:p>
        </w:tc>
        <w:tc>
          <w:tcPr>
            <w:tcW w:w="4680" w:type="dxa"/>
            <w:tcBorders/>
            <w:shd w:fill="F9FAFC" w:val="clear"/>
            <w:tcMar>
              <w:top w:w="80" w:type="dxa"/>
              <w:bottom w:w="80" w:type="dxa"/>
            </w:tcMar>
          </w:tcPr>
          <w:p>
            <w:pPr>
              <w:pStyle w:val="Normal"/>
              <w:spacing w:before="0" w:after="0"/>
              <w:rPr>
                <w:lang w:val="tr-TR"/>
              </w:rPr>
            </w:pPr>
            <w:r>
              <w:rPr>
                <w:sz w:val="19"/>
                <w:lang w:val="tr-TR"/>
              </w:rPr>
              <w:t>2026-2027 Eğitim-Öğretim Yılı I. Dönem YEĞİTEK Okul Sorumlusu Dönem Sonu Faaliyet Raporunun hazırlanarak okul idaresine teslim edilmesi.</w:t>
            </w:r>
          </w:p>
        </w:tc>
      </w:tr>
    </w:tbl>
    <w:p>
      <w:pPr>
        <w:pStyle w:val="Heading1"/>
        <w:spacing w:before="320" w:after="120"/>
        <w:rPr>
          <w:lang w:val="tr-TR"/>
        </w:rPr>
      </w:pPr>
      <w:r>
        <w:rPr>
          <w:b/>
          <w:color w:val="1F4E79"/>
          <w:sz w:val="24"/>
          <w:lang w:val="tr-TR"/>
        </w:rPr>
        <w:t>3. SÜREKLİ VE PERİYODİK GÖREVLER ÖZETİ</w:t>
      </w:r>
    </w:p>
    <w:p>
      <w:pPr>
        <w:pStyle w:val="Normal"/>
        <w:spacing w:before="0" w:after="120"/>
        <w:rPr>
          <w:lang w:val="tr-TR"/>
        </w:rPr>
      </w:pPr>
      <w:r>
        <w:rPr>
          <w:lang w:val="tr-TR"/>
        </w:rPr>
        <w:t>Aylık faaliyet takvimine ek olarak, MEB YEĞİTEK Okul Sorumlusu Görev ve Sorumlulukları (Ek-2) gereğince dönem boyunca sürekli yürütülecek periyodik görevler aşağıda özetlenmiştir:</w:t>
      </w:r>
    </w:p>
    <w:p>
      <w:pPr>
        <w:pStyle w:val="ListBullet"/>
        <w:numPr>
          <w:ilvl w:val="0"/>
          <w:numId w:val="2"/>
        </w:numPr>
        <w:spacing w:lineRule="auto" w:line="276" w:before="0" w:after="80"/>
        <w:contextualSpacing/>
        <w:rPr>
          <w:lang w:val="tr-TR"/>
        </w:rPr>
      </w:pPr>
      <w:r>
        <w:rPr>
          <w:b/>
          <w:color w:val="2F5496"/>
          <w:lang w:val="tr-TR"/>
        </w:rPr>
        <w:t xml:space="preserve">Haftalık EBA İçerik Kontrolü: </w:t>
      </w:r>
      <w:r>
        <w:rPr>
          <w:lang w:val="tr-TR"/>
        </w:rPr>
        <w:t>EBA platformunda öğrenciler tarafından yapılan paylaşımlar her hafta düzenli kontrol edilecek, mevzuata aykırı içerikler derhal kaldırılacak ve ilgili uyarılar yapılacaktır.</w:t>
      </w:r>
    </w:p>
    <w:p>
      <w:pPr>
        <w:pStyle w:val="ListBullet"/>
        <w:numPr>
          <w:ilvl w:val="0"/>
          <w:numId w:val="2"/>
        </w:numPr>
        <w:spacing w:lineRule="auto" w:line="276" w:before="0" w:after="80"/>
        <w:contextualSpacing/>
        <w:rPr>
          <w:lang w:val="tr-TR"/>
        </w:rPr>
      </w:pPr>
      <w:r>
        <w:rPr>
          <w:b/>
          <w:color w:val="2F5496"/>
          <w:lang w:val="tr-TR"/>
        </w:rPr>
        <w:t xml:space="preserve">Donanım ve Garanti Süreçleri: </w:t>
      </w:r>
      <w:r>
        <w:rPr>
          <w:lang w:val="tr-TR"/>
        </w:rPr>
        <w:t>Etkileşimli tahta ve bilgisayarların arıza kayıtları MEB arıza takip sistemi üzerinden anlık olarak girilecek ve garanti kapsamındaki arızalar takip edilecektir.</w:t>
      </w:r>
    </w:p>
    <w:p>
      <w:pPr>
        <w:pStyle w:val="ListBullet"/>
        <w:numPr>
          <w:ilvl w:val="0"/>
          <w:numId w:val="2"/>
        </w:numPr>
        <w:spacing w:lineRule="auto" w:line="276" w:before="0" w:after="80"/>
        <w:contextualSpacing/>
        <w:rPr>
          <w:lang w:val="tr-TR"/>
        </w:rPr>
      </w:pPr>
      <w:r>
        <w:rPr>
          <w:b/>
          <w:color w:val="2F5496"/>
          <w:lang w:val="tr-TR"/>
        </w:rPr>
        <w:t xml:space="preserve">Okul Web Sitesi Güncelliği: </w:t>
      </w:r>
      <w:r>
        <w:rPr>
          <w:lang w:val="tr-TR"/>
        </w:rPr>
        <w:t>Okul web sitesi yayın ekibiyle koordineli şekilde okulda gerçekleştirilen eğitim, sosyal ve bilişim faaliyetleri web sitesinde yayınlanacaktır.</w:t>
      </w:r>
    </w:p>
    <w:p>
      <w:pPr>
        <w:pStyle w:val="ListBullet"/>
        <w:numPr>
          <w:ilvl w:val="0"/>
          <w:numId w:val="2"/>
        </w:numPr>
        <w:spacing w:lineRule="auto" w:line="276" w:before="0" w:after="80"/>
        <w:contextualSpacing/>
        <w:rPr>
          <w:lang w:val="tr-TR"/>
        </w:rPr>
      </w:pPr>
      <w:r>
        <w:rPr>
          <w:b/>
          <w:color w:val="2F5496"/>
          <w:lang w:val="tr-TR"/>
        </w:rPr>
        <w:t xml:space="preserve">Aylık Bildirim Formu (Ek-4): </w:t>
      </w:r>
      <w:r>
        <w:rPr>
          <w:lang w:val="tr-TR"/>
        </w:rPr>
        <w:t>Her ayın sonunda öğretmenlerin derslerde gerçekleştirdikleri dijital uygulamalar 'YEĞİTEK Okul Sorumlusu Çalışma Bildirim Formu'na işlenerek Okul Müdürünün onayına sunulacaktır.</w:t>
      </w:r>
    </w:p>
    <w:p>
      <w:pPr>
        <w:pStyle w:val="ListBullet"/>
        <w:numPr>
          <w:ilvl w:val="0"/>
          <w:numId w:val="2"/>
        </w:numPr>
        <w:spacing w:lineRule="auto" w:line="276" w:before="0" w:after="80"/>
        <w:contextualSpacing/>
        <w:rPr>
          <w:lang w:val="tr-TR"/>
        </w:rPr>
      </w:pPr>
      <w:r>
        <w:rPr>
          <w:b/>
          <w:color w:val="2F5496"/>
          <w:lang w:val="tr-TR"/>
        </w:rPr>
        <w:t xml:space="preserve">Nöbet Muafiyeti ve Ders Çizelgesi: </w:t>
      </w:r>
      <w:r>
        <w:rPr>
          <w:lang w:val="tr-TR"/>
        </w:rPr>
        <w:t>YEĞİTEK Okul Sorumluluğu görevinin yürütüldüğü günlerde mevzuat gereği nöbet görevi verilmeyecek ve görev saatleri haftalık ders programında aksatılmayacak şekilde yürütülecektir.</w:t>
      </w:r>
    </w:p>
    <w:p>
      <w:pPr>
        <w:pStyle w:val="Heading1"/>
        <w:spacing w:before="400" w:after="160"/>
        <w:rPr>
          <w:lang w:val="tr-TR"/>
        </w:rPr>
      </w:pPr>
      <w:r>
        <w:rPr>
          <w:b/>
          <w:color w:val="1F4E79"/>
          <w:sz w:val="24"/>
          <w:lang w:val="tr-TR"/>
        </w:rPr>
        <w:t>4. ONAY VE SUNUM</w:t>
      </w:r>
    </w:p>
    <w:p>
      <w:pPr>
        <w:pStyle w:val="Normal"/>
        <w:spacing w:before="0" w:after="360"/>
        <w:rPr>
          <w:lang w:val="tr-TR"/>
        </w:rPr>
      </w:pPr>
      <w:r>
        <w:rPr>
          <w:lang w:val="tr-TR"/>
        </w:rPr>
        <w:t>İşbu 2026-2027 Eğitim-Öğretim Yılı I. Dönem YEĞİTEK Okul Sorumlusu Çalışma Planı, MEB Yenilik ve Eğitim Teknolojileri Genel Müdürlüğü görevlendirme esasları doğrultusunda hazırlanmış olup İhsan Aras Ortaokulu Müdürlüğünün onayına arz olunur.</w:t>
      </w:r>
    </w:p>
    <w:tbl>
      <w:tblPr>
        <w:tblW w:w="936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0"/>
        <w:gridCol w:w="4680"/>
      </w:tblGrid>
      <w:tr>
        <w:trPr/>
        <w:tc>
          <w:tcPr>
            <w:tcW w:w="4680" w:type="dxa"/>
            <w:tcBorders/>
          </w:tcPr>
          <w:p>
            <w:pPr>
              <w:pStyle w:val="Normal"/>
              <w:spacing w:before="0" w:after="40"/>
              <w:jc w:val="center"/>
              <w:rPr>
                <w:lang w:val="tr-TR"/>
              </w:rPr>
            </w:pPr>
            <w:r>
              <w:rPr>
                <w:b/>
                <w:color w:val="1F4E79"/>
                <w:sz w:val="20"/>
                <w:lang w:val="tr-TR"/>
              </w:rPr>
              <w:t>HAZIRLAYAN</w:t>
              <w:br/>
              <w:t>04 Ekim 2026</w:t>
              <w:br/>
              <w:br/>
              <w:br/>
            </w:r>
            <w:r>
              <w:rPr>
                <w:b/>
                <w:color w:val="1F4E79"/>
                <w:sz w:val="20"/>
                <w:lang w:val="tr-TR"/>
              </w:rPr>
              <w:t>Anıl Batu Han ÜNVER</w:t>
            </w:r>
            <w:r>
              <w:rPr>
                <w:b/>
                <w:sz w:val="20"/>
                <w:lang w:val="tr-TR"/>
              </w:rPr>
              <w:br/>
              <w:t>YEĞİTEK Okul Sorumlusu</w:t>
            </w:r>
          </w:p>
        </w:tc>
        <w:tc>
          <w:tcPr>
            <w:tcW w:w="4680" w:type="dxa"/>
            <w:tcBorders/>
          </w:tcPr>
          <w:p>
            <w:pPr>
              <w:pStyle w:val="Normal"/>
              <w:spacing w:before="0" w:after="40"/>
              <w:jc w:val="center"/>
              <w:rPr>
                <w:lang w:val="tr-TR"/>
              </w:rPr>
            </w:pPr>
            <w:r>
              <w:rPr>
                <w:b/>
                <w:color w:val="1F4E79"/>
                <w:sz w:val="20"/>
                <w:lang w:val="tr-TR"/>
              </w:rPr>
              <w:t>ONAYLAYAN</w:t>
              <w:br/>
            </w:r>
            <w:r>
              <w:rPr>
                <w:b/>
                <w:color w:val="1F4E79"/>
                <w:sz w:val="20"/>
                <w:lang w:val="tr-TR"/>
              </w:rPr>
              <w:t>12</w:t>
            </w:r>
            <w:r>
              <w:rPr>
                <w:b/>
                <w:color w:val="1F4E79"/>
                <w:sz w:val="20"/>
                <w:lang w:val="tr-TR"/>
              </w:rPr>
              <w:t xml:space="preserve"> / 10 / 2026</w:t>
              <w:br/>
              <w:br/>
              <w:br/>
            </w:r>
            <w:r>
              <w:rPr>
                <w:b/>
                <w:color w:val="000000"/>
                <w:sz w:val="20"/>
                <w:lang w:val="tr-TR"/>
              </w:rPr>
              <w:t>Osman AVŞAR</w:t>
            </w:r>
            <w:r>
              <w:rPr>
                <w:b/>
                <w:sz w:val="20"/>
                <w:lang w:val="tr-TR"/>
              </w:rPr>
              <w:br/>
              <w:t>Okul Müdürü</w:t>
            </w:r>
          </w:p>
        </w:tc>
      </w:tr>
    </w:tbl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40" w:right="1440" w:gutter="0" w:header="720" w:top="1440" w:footer="72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lang w:val="tr-TR"/>
      </w:rPr>
    </w:pPr>
    <w:r>
      <w:rPr>
        <w:color w:val="646464"/>
        <w:sz w:val="18"/>
        <w:lang w:val="tr-TR"/>
      </w:rPr>
      <w:t xml:space="preserve">Sayfa </w:t>
    </w:r>
    <w:r>
      <w:rPr>
        <w:lang w:val="tr-TR"/>
      </w:rPr>
      <w:fldChar w:fldCharType="begin"/>
    </w:r>
    <w:r>
      <w:rPr>
        <w:lang w:val="tr-TR"/>
      </w:rPr>
      <w:instrText xml:space="preserve"> PAGE </w:instrText>
    </w:r>
    <w:r>
      <w:rPr>
        <w:lang w:val="tr-TR"/>
      </w:rPr>
      <w:fldChar w:fldCharType="separate"/>
    </w:r>
    <w:r>
      <w:rPr>
        <w:lang w:val="tr-TR"/>
      </w:rPr>
      <w:t>3</w:t>
    </w:r>
    <w:r>
      <w:rPr>
        <w:lang w:val="tr-TR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>
        <w:lang w:val="tr-TR"/>
      </w:rPr>
    </w:pPr>
    <w:r>
      <w:rPr>
        <w:color w:val="787878"/>
        <w:sz w:val="17"/>
        <w:lang w:val="tr-TR"/>
      </w:rPr>
      <w:t>İhsan Aras</w:t>
    </w:r>
    <w:r>
      <w:rPr>
        <w:color w:val="787878"/>
        <w:sz w:val="17"/>
        <w:lang w:val="tr-TR"/>
      </w:rPr>
      <w:t xml:space="preserve"> Ortaokulu | YEĞİTEK I. Dönem Çalışma Planı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DejaVu Sans" w:cs="DejaVu Sans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76" w:before="0" w:after="200"/>
      <w:jc w:val="left"/>
    </w:pPr>
    <w:rPr>
      <w:rFonts w:ascii="Calibri" w:hAnsi="Calibri" w:eastAsia="ＭＳ 明朝" w:cs="DejaVu Sans"/>
      <w:color w:val="262626"/>
      <w:kern w:val="0"/>
      <w:sz w:val="21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qFormat/>
    <w:pPr>
      <w:keepNext w:val="true"/>
      <w:keepLines/>
      <w:numPr>
        <w:ilvl w:val="0"/>
        <w:numId w:val="0"/>
      </w:numPr>
      <w:spacing w:before="480" w:after="0"/>
      <w:outlineLvl w:val="0"/>
    </w:pPr>
    <w:rPr>
      <w:rFonts w:ascii="Calibri" w:hAnsi="Calibri" w:eastAsia="DejaVu Sans" w:cs="DejaVu Sans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pPr>
      <w:keepNext w:val="true"/>
      <w:keepLines/>
      <w:numPr>
        <w:ilvl w:val="0"/>
        <w:numId w:val="0"/>
      </w:numPr>
      <w:spacing w:before="200" w:after="0"/>
      <w:outlineLvl w:val="1"/>
    </w:pPr>
    <w:rPr>
      <w:rFonts w:ascii="Calibri" w:hAnsi="Calibri" w:eastAsia="DejaVu Sans" w:cs="DejaVu Sans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pPr>
      <w:keepNext w:val="true"/>
      <w:keepLines/>
      <w:numPr>
        <w:ilvl w:val="0"/>
        <w:numId w:val="0"/>
      </w:numPr>
      <w:spacing w:before="200" w:after="0"/>
      <w:outlineLvl w:val="2"/>
    </w:pPr>
    <w:rPr>
      <w:rFonts w:ascii="Calibri" w:hAnsi="Calibri" w:eastAsia="DejaVu Sans" w:cs="DejaVu Sans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qFormat/>
    <w:pPr>
      <w:keepNext w:val="true"/>
      <w:keepLines/>
      <w:numPr>
        <w:ilvl w:val="0"/>
        <w:numId w:val="0"/>
      </w:numPr>
      <w:spacing w:before="200" w:after="0"/>
      <w:outlineLvl w:val="3"/>
    </w:pPr>
    <w:rPr>
      <w:rFonts w:ascii="Calibri" w:hAnsi="Calibri" w:eastAsia="DejaVu Sans" w:cs="DejaVu Sans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qFormat/>
    <w:pPr>
      <w:keepNext w:val="true"/>
      <w:keepLines/>
      <w:numPr>
        <w:ilvl w:val="0"/>
        <w:numId w:val="0"/>
      </w:numPr>
      <w:spacing w:before="200" w:after="0"/>
      <w:outlineLvl w:val="4"/>
    </w:pPr>
    <w:rPr>
      <w:rFonts w:ascii="Calibri" w:hAnsi="Calibri" w:eastAsia="DejaVu Sans" w:cs="DejaVu Sans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qFormat/>
    <w:pPr>
      <w:keepNext w:val="true"/>
      <w:keepLines/>
      <w:numPr>
        <w:ilvl w:val="0"/>
        <w:numId w:val="0"/>
      </w:numPr>
      <w:spacing w:before="200" w:after="0"/>
      <w:outlineLvl w:val="5"/>
    </w:pPr>
    <w:rPr>
      <w:rFonts w:ascii="Calibri" w:hAnsi="Calibri" w:eastAsia="DejaVu Sans" w:cs="DejaVu Sans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qFormat/>
    <w:pPr>
      <w:keepNext w:val="true"/>
      <w:keepLines/>
      <w:numPr>
        <w:ilvl w:val="0"/>
        <w:numId w:val="0"/>
      </w:numPr>
      <w:spacing w:before="200" w:after="0"/>
      <w:outlineLvl w:val="6"/>
    </w:pPr>
    <w:rPr>
      <w:rFonts w:ascii="Calibri" w:hAnsi="Calibri" w:eastAsia="DejaVu Sans" w:cs="DejaVu Sans"/>
      <w:i/>
      <w:iCs/>
      <w:color w:themeColor="dark1" w:themeTint="bf" w:val="404040"/>
    </w:rPr>
  </w:style>
  <w:style w:type="paragraph" w:styleId="Heading8">
    <w:name w:val="heading 8"/>
    <w:basedOn w:val="Normal"/>
    <w:next w:val="Normal"/>
    <w:link w:val="Heading8Char"/>
    <w:qFormat/>
    <w:pPr>
      <w:keepNext w:val="true"/>
      <w:keepLines/>
      <w:numPr>
        <w:ilvl w:val="0"/>
        <w:numId w:val="0"/>
      </w:numPr>
      <w:spacing w:before="200" w:after="0"/>
      <w:outlineLvl w:val="7"/>
    </w:pPr>
    <w:rPr>
      <w:rFonts w:ascii="Calibri" w:hAnsi="Calibri" w:eastAsia="DejaVu Sans" w:cs="DejaVu Sans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pPr>
      <w:keepNext w:val="true"/>
      <w:keepLines/>
      <w:numPr>
        <w:ilvl w:val="0"/>
        <w:numId w:val="0"/>
      </w:numPr>
      <w:spacing w:before="200" w:after="0"/>
      <w:outlineLvl w:val="8"/>
    </w:pPr>
    <w:rPr>
      <w:rFonts w:ascii="Calibri" w:hAnsi="Calibri" w:eastAsia="DejaVu Sans" w:cs="DejaVu Sans"/>
      <w:i/>
      <w:iCs/>
      <w:color w:themeColor="dark1" w:themeTint="bf" w:val="404040"/>
      <w:sz w:val="20"/>
      <w:szCs w:val="20"/>
    </w:rPr>
  </w:style>
  <w:style w:type="character" w:styleId="HeaderChar">
    <w:name w:val="Header Char"/>
    <w:basedOn w:val="DefaultParagraphFont"/>
    <w:qFormat/>
    <w:rPr/>
  </w:style>
  <w:style w:type="character" w:styleId="FooterChar">
    <w:name w:val="Footer Char"/>
    <w:basedOn w:val="DefaultParagraphFont"/>
    <w:qFormat/>
    <w:rPr/>
  </w:style>
  <w:style w:type="character" w:styleId="DefaultParagraphFont">
    <w:name w:val="Default Paragraph Font"/>
    <w:qFormat/>
    <w:rPr/>
  </w:style>
  <w:style w:type="character" w:styleId="Heading1Char">
    <w:name w:val="Heading 1 Char"/>
    <w:basedOn w:val="DefaultParagraphFont"/>
    <w:qFormat/>
    <w:rPr>
      <w:rFonts w:ascii="Calibri" w:hAnsi="Calibri" w:eastAsia="DejaVu Sans" w:cs="DejaVu Sans"/>
      <w:b/>
      <w:bCs/>
      <w:color w:themeColor="accent1" w:themeShade="bf" w:val="365F91"/>
      <w:sz w:val="28"/>
      <w:szCs w:val="28"/>
    </w:rPr>
  </w:style>
  <w:style w:type="character" w:styleId="Heading2Char">
    <w:name w:val="Heading 2 Char"/>
    <w:basedOn w:val="DefaultParagraphFont"/>
    <w:qFormat/>
    <w:rPr>
      <w:rFonts w:ascii="Calibri" w:hAnsi="Calibri" w:eastAsia="DejaVu Sans" w:cs="DejaVu Sans"/>
      <w:b/>
      <w:bCs/>
      <w:color w:themeColor="accent1" w:val="4F81BD"/>
      <w:sz w:val="26"/>
      <w:szCs w:val="26"/>
    </w:rPr>
  </w:style>
  <w:style w:type="character" w:styleId="Heading3Char">
    <w:name w:val="Heading 3 Char"/>
    <w:basedOn w:val="DefaultParagraphFont"/>
    <w:qFormat/>
    <w:rPr>
      <w:rFonts w:ascii="Calibri" w:hAnsi="Calibri" w:eastAsia="DejaVu Sans" w:cs="DejaVu Sans"/>
      <w:b/>
      <w:bCs/>
      <w:color w:themeColor="accent1" w:val="4F81BD"/>
    </w:rPr>
  </w:style>
  <w:style w:type="character" w:styleId="TitleChar">
    <w:name w:val="Title Char"/>
    <w:basedOn w:val="DefaultParagraphFont"/>
    <w:qFormat/>
    <w:rPr>
      <w:rFonts w:ascii="Calibri" w:hAnsi="Calibri" w:eastAsia="DejaVu Sans" w:cs="DejaVu Sans"/>
      <w:color w:themeColor="dark2" w:themeShade="bf" w:val="17365D"/>
      <w:spacing w:val="5"/>
      <w:kern w:val="2"/>
      <w:sz w:val="52"/>
      <w:szCs w:val="52"/>
    </w:rPr>
  </w:style>
  <w:style w:type="character" w:styleId="SubtitleChar">
    <w:name w:val="Subtitle Char"/>
    <w:basedOn w:val="DefaultParagraphFont"/>
    <w:qFormat/>
    <w:rPr>
      <w:rFonts w:ascii="Calibri" w:hAnsi="Calibri" w:eastAsia="DejaVu Sans" w:cs="DejaVu Sans"/>
      <w:i/>
      <w:iCs/>
      <w:color w:themeColor="accent1" w:val="4F81BD"/>
      <w:spacing w:val="15"/>
      <w:sz w:val="24"/>
      <w:szCs w:val="24"/>
    </w:rPr>
  </w:style>
  <w:style w:type="character" w:styleId="BodyTextChar">
    <w:name w:val="Body Text Char"/>
    <w:basedOn w:val="DefaultParagraphFont"/>
    <w:qFormat/>
    <w:rPr/>
  </w:style>
  <w:style w:type="character" w:styleId="BodyText2Char">
    <w:name w:val="Body Text 2 Char"/>
    <w:basedOn w:val="DefaultParagraphFont"/>
    <w:link w:val="BodyText2"/>
    <w:qFormat/>
    <w:rPr/>
  </w:style>
  <w:style w:type="character" w:styleId="BodyText3Char">
    <w:name w:val="Body Text 3 Char"/>
    <w:basedOn w:val="DefaultParagraphFont"/>
    <w:link w:val="BodyText3"/>
    <w:qFormat/>
    <w:rPr>
      <w:sz w:val="16"/>
      <w:szCs w:val="16"/>
    </w:rPr>
  </w:style>
  <w:style w:type="character" w:styleId="MacroTextChar">
    <w:name w:val="Macro Text Char"/>
    <w:basedOn w:val="DefaultParagraphFont"/>
    <w:link w:val="MacroText"/>
    <w:qFormat/>
    <w:rPr>
      <w:rFonts w:ascii="Courier" w:hAnsi="Courier"/>
      <w:sz w:val="20"/>
      <w:szCs w:val="20"/>
    </w:rPr>
  </w:style>
  <w:style w:type="character" w:styleId="QuoteChar">
    <w:name w:val="Quote Char"/>
    <w:basedOn w:val="DefaultParagraphFont"/>
    <w:link w:val="Quote"/>
    <w:qFormat/>
    <w:rPr>
      <w:i/>
      <w:iCs/>
      <w:color w:themeColor="dark1" w:val="000000"/>
    </w:rPr>
  </w:style>
  <w:style w:type="character" w:styleId="Heading4Char">
    <w:name w:val="Heading 4 Char"/>
    <w:basedOn w:val="DefaultParagraphFont"/>
    <w:qFormat/>
    <w:rPr>
      <w:rFonts w:ascii="Calibri" w:hAnsi="Calibri" w:eastAsia="DejaVu Sans" w:cs="DejaVu Sans"/>
      <w:b/>
      <w:bCs/>
      <w:i/>
      <w:iCs/>
      <w:color w:themeColor="accent1" w:val="4F81BD"/>
    </w:rPr>
  </w:style>
  <w:style w:type="character" w:styleId="Heading5Char">
    <w:name w:val="Heading 5 Char"/>
    <w:basedOn w:val="DefaultParagraphFont"/>
    <w:qFormat/>
    <w:rPr>
      <w:rFonts w:ascii="Calibri" w:hAnsi="Calibri" w:eastAsia="DejaVu Sans" w:cs="DejaVu Sans"/>
      <w:color w:themeColor="accent1" w:themeShade="7f" w:val="243F60"/>
    </w:rPr>
  </w:style>
  <w:style w:type="character" w:styleId="Heading6Char">
    <w:name w:val="Heading 6 Char"/>
    <w:basedOn w:val="DefaultParagraphFont"/>
    <w:qFormat/>
    <w:rPr>
      <w:rFonts w:ascii="Calibri" w:hAnsi="Calibri" w:eastAsia="DejaVu Sans" w:cs="DejaVu Sans"/>
      <w:i/>
      <w:iCs/>
      <w:color w:themeColor="accent1" w:themeShade="7f" w:val="243F60"/>
    </w:rPr>
  </w:style>
  <w:style w:type="character" w:styleId="Heading7Char">
    <w:name w:val="Heading 7 Char"/>
    <w:basedOn w:val="DefaultParagraphFont"/>
    <w:qFormat/>
    <w:rPr>
      <w:rFonts w:ascii="Calibri" w:hAnsi="Calibri" w:eastAsia="DejaVu Sans" w:cs="DejaVu Sans"/>
      <w:i/>
      <w:iCs/>
      <w:color w:themeColor="dark1" w:themeTint="bf" w:val="404040"/>
    </w:rPr>
  </w:style>
  <w:style w:type="character" w:styleId="Heading8Char">
    <w:name w:val="Heading 8 Char"/>
    <w:basedOn w:val="DefaultParagraphFont"/>
    <w:qFormat/>
    <w:rPr>
      <w:rFonts w:ascii="Calibri" w:hAnsi="Calibri" w:eastAsia="DejaVu Sans" w:cs="DejaVu Sans"/>
      <w:color w:themeColor="accent1" w:val="4F81BD"/>
      <w:sz w:val="20"/>
      <w:szCs w:val="20"/>
    </w:rPr>
  </w:style>
  <w:style w:type="character" w:styleId="Heading9Char">
    <w:name w:val="Heading 9 Char"/>
    <w:basedOn w:val="DefaultParagraphFont"/>
    <w:qFormat/>
    <w:rPr>
      <w:rFonts w:ascii="Calibri" w:hAnsi="Calibri" w:eastAsia="DejaVu Sans" w:cs="DejaVu Sans"/>
      <w:i/>
      <w:iCs/>
      <w:color w:themeColor="dark1" w:themeTint="bf" w:val="404040"/>
      <w:sz w:val="20"/>
      <w:szCs w:val="20"/>
    </w:rPr>
  </w:style>
  <w:style w:type="character" w:styleId="Strong">
    <w:name w:val="Strong"/>
    <w:basedOn w:val="DefaultParagraphFont"/>
    <w:qFormat/>
    <w:rPr>
      <w:b/>
      <w:bCs/>
    </w:rPr>
  </w:style>
  <w:style w:type="character" w:styleId="Emphasis">
    <w:name w:val="Emphasis"/>
    <w:basedOn w:val="DefaultParagraphFont"/>
    <w:qFormat/>
    <w:rPr>
      <w:i/>
      <w:iCs/>
    </w:rPr>
  </w:style>
  <w:style w:type="character" w:styleId="IntenseQuoteChar">
    <w:name w:val="Intense Quote Char"/>
    <w:basedOn w:val="DefaultParagraphFont"/>
    <w:link w:val="IntenseQuote"/>
    <w:qFormat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qFormat/>
    <w:rPr>
      <w:i/>
      <w:iCs/>
      <w:color w:themeColor="dark1" w:themeTint="7f" w:val="808080"/>
    </w:rPr>
  </w:style>
  <w:style w:type="character" w:styleId="IntenseEmphasis">
    <w:name w:val="Intense Emphasis"/>
    <w:basedOn w:val="DefaultParagraphFont"/>
    <w:qFormat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qFormat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qFormat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qFormat/>
    <w:rPr>
      <w:b/>
      <w:bCs/>
      <w:smallCaps/>
      <w:spacing w:val="5"/>
    </w:rPr>
  </w:style>
  <w:style w:type="paragraph" w:styleId="Balk">
    <w:name w:val="Başlı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BodyText">
    <w:name w:val="Body Text"/>
    <w:basedOn w:val="Normal"/>
    <w:link w:val="BodyTextChar"/>
    <w:pPr>
      <w:spacing w:before="0" w:after="120"/>
    </w:pPr>
    <w:rPr/>
  </w:style>
  <w:style w:type="paragraph" w:styleId="List">
    <w:name w:val="List"/>
    <w:basedOn w:val="Normal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next w:val="Normal"/>
    <w:qFormat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Dizin">
    <w:name w:val="Dizin"/>
    <w:basedOn w:val="Normal"/>
    <w:qFormat/>
    <w:pPr>
      <w:suppressLineNumbers/>
    </w:pPr>
    <w:rPr>
      <w:rFonts w:cs="FreeSans"/>
    </w:rPr>
  </w:style>
  <w:style w:type="paragraph" w:styleId="Balkuser">
    <w:name w:val="Başlı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Dizinuser">
    <w:name w:val="Dizin (user)"/>
    <w:basedOn w:val="Normal"/>
    <w:qFormat/>
    <w:pPr>
      <w:suppressLineNumbers/>
    </w:pPr>
    <w:rPr>
      <w:rFonts w:cs="FreeSans"/>
    </w:rPr>
  </w:style>
  <w:style w:type="paragraph" w:styleId="stBilgiveAltBilgi">
    <w:name w:val="Üst Bilgi ve Alt Bilgi"/>
    <w:basedOn w:val="Normal"/>
    <w:qFormat/>
    <w:pPr/>
    <w:rPr/>
  </w:style>
  <w:style w:type="paragraph" w:styleId="stBilgiveAltBilgiuser">
    <w:name w:val="Üst Bilgi ve Alt Bilgi (user)"/>
    <w:basedOn w:val="Normal"/>
    <w:qFormat/>
    <w:pPr/>
    <w:rPr/>
  </w:style>
  <w:style w:type="paragraph" w:styleId="Header">
    <w:name w:val="header"/>
    <w:basedOn w:val="Normal"/>
    <w:link w:val="HeaderChar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left"/>
    </w:pPr>
    <w:rPr>
      <w:rFonts w:ascii="Cambria" w:hAnsi="Cambria" w:eastAsia="DejaVu Sans" w:cs="DejaVu Sans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qFormat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DejaVu Sans" w:cs="DejaVu Sans"/>
      <w:color w:themeColor="dark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pPr/>
    <w:rPr>
      <w:rFonts w:ascii="Calibri" w:hAnsi="Calibri" w:eastAsia="DejaVu Sans" w:cs="DejaVu Sans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qFormat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qFormat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qFormat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qFormat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qFormat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pPr>
      <w:numPr>
        <w:ilvl w:val="0"/>
        <w:numId w:val="2"/>
      </w:numPr>
      <w:spacing w:before="0" w:after="200"/>
      <w:contextualSpacing/>
    </w:pPr>
    <w:rPr/>
  </w:style>
  <w:style w:type="paragraph" w:styleId="ListBullet2">
    <w:name w:val="List Bullet 2"/>
    <w:basedOn w:val="Normal"/>
    <w:pPr>
      <w:numPr>
        <w:ilvl w:val="0"/>
        <w:numId w:val="3"/>
      </w:numPr>
      <w:spacing w:before="0" w:after="200"/>
      <w:contextualSpacing/>
    </w:pPr>
    <w:rPr/>
  </w:style>
  <w:style w:type="paragraph" w:styleId="ListBullet3">
    <w:name w:val="List Bullet 3"/>
    <w:basedOn w:val="Normal"/>
    <w:pPr>
      <w:numPr>
        <w:ilvl w:val="0"/>
        <w:numId w:val="4"/>
      </w:numPr>
      <w:spacing w:before="0" w:after="200"/>
      <w:contextualSpacing/>
    </w:pPr>
    <w:rPr/>
  </w:style>
  <w:style w:type="paragraph" w:styleId="ListNumber">
    <w:name w:val="List Number"/>
    <w:basedOn w:val="Normal"/>
    <w:pPr>
      <w:numPr>
        <w:ilvl w:val="0"/>
        <w:numId w:val="5"/>
      </w:numPr>
      <w:spacing w:before="0" w:after="200"/>
      <w:contextualSpacing/>
    </w:pPr>
    <w:rPr/>
  </w:style>
  <w:style w:type="paragraph" w:styleId="ListNumber2">
    <w:name w:val="List Number 2"/>
    <w:basedOn w:val="Normal"/>
    <w:pPr>
      <w:numPr>
        <w:ilvl w:val="0"/>
        <w:numId w:val="6"/>
      </w:numPr>
      <w:spacing w:before="0" w:after="200"/>
      <w:contextualSpacing/>
    </w:pPr>
    <w:rPr/>
  </w:style>
  <w:style w:type="paragraph" w:styleId="ListNumber3">
    <w:name w:val="List Number 3"/>
    <w:basedOn w:val="Normal"/>
    <w:pPr>
      <w:numPr>
        <w:ilvl w:val="0"/>
        <w:numId w:val="7"/>
      </w:numPr>
      <w:spacing w:before="0" w:after="200"/>
      <w:contextualSpacing/>
    </w:pPr>
    <w:rPr/>
  </w:style>
  <w:style w:type="paragraph" w:styleId="ListContinue">
    <w:name w:val="List Continue"/>
    <w:basedOn w:val="Normal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pPr>
      <w:spacing w:before="0" w:after="120"/>
      <w:ind w:left="1080"/>
      <w:contextualSpacing/>
    </w:pPr>
    <w:rPr/>
  </w:style>
  <w:style w:type="paragraph" w:styleId="MacroText">
    <w:name w:val="macro"/>
    <w:link w:val="MacroTextChar"/>
    <w:qFormat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kinsoku w:val="true"/>
      <w:overflowPunct w:val="true"/>
      <w:autoSpaceDE w:val="true"/>
      <w:bidi w:val="0"/>
      <w:spacing w:lineRule="auto" w:line="276" w:before="0" w:after="200"/>
      <w:jc w:val="left"/>
    </w:pPr>
    <w:rPr>
      <w:rFonts w:ascii="Courier" w:hAnsi="Courier" w:eastAsia="DejaVu Sans" w:cs="DejaVu Sans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qFormat/>
    <w:pPr/>
    <w:rPr>
      <w:i/>
      <w:iCs/>
      <w:color w:themeColor="dark1" w:val="000000"/>
    </w:rPr>
  </w:style>
  <w:style w:type="paragraph" w:styleId="IntenseQuote">
    <w:name w:val="Intense Quote"/>
    <w:basedOn w:val="Normal"/>
    <w:next w:val="Normal"/>
    <w:link w:val="IntenseQuoteChar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Balk"/>
    <w:pPr/>
    <w:rPr/>
  </w:style>
  <w:style w:type="paragraph" w:styleId="TOCHeading">
    <w:name w:val="TOC Heading"/>
    <w:basedOn w:val="Heading1"/>
    <w:next w:val="Normal"/>
    <w:qFormat/>
    <w:pPr>
      <w:outlineLvl w:val="9"/>
    </w:pPr>
    <w:rPr/>
  </w:style>
  <w:style w:type="paragraph" w:styleId="Tabloerii">
    <w:name w:val="Tablo İçeriği"/>
    <w:basedOn w:val="Normal"/>
    <w:qFormat/>
    <w:pPr>
      <w:widowControl w:val="false"/>
      <w:suppressLineNumbers/>
    </w:pPr>
    <w:rPr/>
  </w:style>
  <w:style w:type="numbering" w:styleId="ListeYok">
    <w:name w:val="Liste Yok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LibreOffice/26.8.0.3$Linux_X86_64 LibreOffice_project/bce0998afefdbc355585ca324285661a2170ba77</Application>
  <AppVersion>15.0000</AppVersion>
  <Pages>3</Pages>
  <Words>809</Words>
  <Characters>5564</Characters>
  <CharactersWithSpaces>6297</CharactersWithSpaces>
  <Paragraphs>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tr-TR</dc:language>
  <cp:lastModifiedBy/>
  <cp:lastPrinted>2026-10-12T12:30:09Z</cp:lastPrinted>
  <dcterms:modified xsi:type="dcterms:W3CDTF">2026-10-12T12:30:15Z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